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BC2C" w14:textId="77777777" w:rsidR="00522B3B" w:rsidRPr="00C93CEB" w:rsidRDefault="00522B3B" w:rsidP="00522B3B">
      <w:pPr>
        <w:pStyle w:val="EndnoteText"/>
        <w:jc w:val="center"/>
        <w:rPr>
          <w:rFonts w:cstheme="minorHAnsi"/>
          <w:b/>
          <w:sz w:val="24"/>
          <w:szCs w:val="24"/>
          <w:shd w:val="clear" w:color="auto" w:fill="FFFFFF"/>
        </w:rPr>
      </w:pPr>
      <w:bookmarkStart w:id="0" w:name="_Hlk536618695"/>
      <w:r w:rsidRPr="00C93CEB">
        <w:rPr>
          <w:rFonts w:cstheme="minorHAnsi"/>
          <w:b/>
          <w:sz w:val="24"/>
          <w:szCs w:val="24"/>
          <w:shd w:val="clear" w:color="auto" w:fill="FFFFFF"/>
        </w:rPr>
        <w:t>Sample Media Pitch</w:t>
      </w:r>
    </w:p>
    <w:p w14:paraId="27D9C70B" w14:textId="77777777" w:rsidR="00522B3B" w:rsidRPr="00C93CEB" w:rsidRDefault="00522B3B" w:rsidP="00522B3B">
      <w:pPr>
        <w:pStyle w:val="EndnoteText"/>
        <w:jc w:val="center"/>
        <w:rPr>
          <w:rFonts w:cstheme="minorHAnsi"/>
          <w:sz w:val="24"/>
          <w:szCs w:val="24"/>
          <w:shd w:val="clear" w:color="auto" w:fill="FFFFFF"/>
        </w:rPr>
      </w:pPr>
    </w:p>
    <w:p w14:paraId="68B5A96A" w14:textId="77777777" w:rsidR="00522B3B" w:rsidRPr="00C93CEB" w:rsidRDefault="00522B3B" w:rsidP="00522B3B">
      <w:pPr>
        <w:spacing w:after="0" w:line="240" w:lineRule="auto"/>
        <w:rPr>
          <w:rFonts w:cs="Calibri"/>
          <w:sz w:val="24"/>
          <w:szCs w:val="24"/>
        </w:rPr>
      </w:pPr>
      <w:r w:rsidRPr="00C93CEB">
        <w:rPr>
          <w:rFonts w:cs="Calibri"/>
          <w:sz w:val="24"/>
          <w:szCs w:val="24"/>
        </w:rPr>
        <w:t>SUBJ: Doctors of Optometry Can Improve Patient Access to Primary Eye Health Care</w:t>
      </w:r>
      <w:r w:rsidRPr="00C93CEB">
        <w:rPr>
          <w:rFonts w:cs="Calibri"/>
          <w:sz w:val="24"/>
          <w:szCs w:val="24"/>
        </w:rPr>
        <w:br/>
      </w:r>
    </w:p>
    <w:p w14:paraId="1C313F19" w14:textId="77777777" w:rsidR="00522B3B" w:rsidRPr="00C93CEB" w:rsidRDefault="00522B3B" w:rsidP="00522B3B">
      <w:pPr>
        <w:spacing w:after="0" w:line="240" w:lineRule="auto"/>
        <w:rPr>
          <w:rFonts w:cs="Calibri"/>
          <w:sz w:val="24"/>
          <w:szCs w:val="24"/>
        </w:rPr>
      </w:pPr>
      <w:r w:rsidRPr="00C93CEB">
        <w:rPr>
          <w:rFonts w:cs="Calibri"/>
          <w:sz w:val="24"/>
          <w:szCs w:val="24"/>
        </w:rPr>
        <w:t>Hi [</w:t>
      </w:r>
      <w:r w:rsidRPr="00C93CEB">
        <w:rPr>
          <w:rFonts w:cs="Calibri"/>
          <w:sz w:val="24"/>
          <w:szCs w:val="24"/>
          <w:highlight w:val="yellow"/>
        </w:rPr>
        <w:t>insert reporter name</w:t>
      </w:r>
      <w:r w:rsidRPr="00C93CEB">
        <w:rPr>
          <w:rFonts w:cs="Calibri"/>
          <w:sz w:val="24"/>
          <w:szCs w:val="24"/>
        </w:rPr>
        <w:t>] -</w:t>
      </w:r>
      <w:r w:rsidRPr="00C93CEB">
        <w:rPr>
          <w:rFonts w:cs="Calibri"/>
          <w:sz w:val="24"/>
          <w:szCs w:val="24"/>
        </w:rPr>
        <w:br/>
      </w:r>
    </w:p>
    <w:p w14:paraId="284E51AA" w14:textId="77777777" w:rsidR="00522B3B" w:rsidRPr="00E7653D" w:rsidRDefault="00522B3B" w:rsidP="00522B3B">
      <w:pPr>
        <w:pStyle w:val="NormalWeb"/>
        <w:spacing w:before="0" w:beforeAutospacing="0" w:after="0" w:afterAutospacing="0"/>
        <w:rPr>
          <w:rFonts w:asciiTheme="minorHAnsi" w:hAnsiTheme="minorHAnsi"/>
          <w:sz w:val="24"/>
          <w:szCs w:val="24"/>
        </w:rPr>
      </w:pPr>
      <w:r w:rsidRPr="00E7653D">
        <w:rPr>
          <w:rFonts w:asciiTheme="minorHAnsi" w:hAnsiTheme="minorHAnsi"/>
          <w:sz w:val="24"/>
          <w:szCs w:val="24"/>
        </w:rPr>
        <w:t>In alarming news, up to 16 million Americans struggle with undiagnosed and untreated vision impairments</w:t>
      </w:r>
      <w:r w:rsidRPr="00E7653D">
        <w:rPr>
          <w:rStyle w:val="EndnoteReference"/>
          <w:rFonts w:asciiTheme="minorHAnsi" w:hAnsiTheme="minorHAnsi"/>
          <w:sz w:val="24"/>
          <w:szCs w:val="24"/>
        </w:rPr>
        <w:footnoteRef/>
      </w:r>
      <w:r w:rsidRPr="00E7653D">
        <w:rPr>
          <w:rFonts w:asciiTheme="minorHAnsi" w:hAnsiTheme="minorHAnsi"/>
          <w:sz w:val="24"/>
          <w:szCs w:val="24"/>
        </w:rPr>
        <w:t xml:space="preserve">. </w:t>
      </w:r>
      <w:r w:rsidRPr="00E7653D">
        <w:rPr>
          <w:rFonts w:asciiTheme="minorHAnsi" w:hAnsiTheme="minorHAnsi"/>
          <w:sz w:val="24"/>
          <w:szCs w:val="24"/>
          <w:highlight w:val="yellow"/>
        </w:rPr>
        <w:t xml:space="preserve">[insert state-specific data here – </w:t>
      </w:r>
      <w:r w:rsidRPr="00E7653D">
        <w:rPr>
          <w:rFonts w:asciiTheme="minorHAnsi" w:hAnsiTheme="minorHAnsi"/>
          <w:i/>
          <w:sz w:val="24"/>
          <w:szCs w:val="24"/>
          <w:highlight w:val="yellow"/>
        </w:rPr>
        <w:t>e.g.</w:t>
      </w:r>
      <w:r w:rsidRPr="00E7653D">
        <w:rPr>
          <w:rFonts w:asciiTheme="minorHAnsi" w:hAnsiTheme="minorHAnsi"/>
          <w:sz w:val="24"/>
          <w:szCs w:val="24"/>
          <w:highlight w:val="yellow"/>
        </w:rPr>
        <w:t xml:space="preserve"> </w:t>
      </w:r>
      <w:r w:rsidRPr="00E7653D">
        <w:rPr>
          <w:rFonts w:cstheme="minorHAnsi"/>
          <w:i/>
          <w:color w:val="000000"/>
          <w:sz w:val="24"/>
          <w:szCs w:val="24"/>
          <w:highlight w:val="yellow"/>
        </w:rPr>
        <w:t xml:space="preserve">In Pennsylvania alone, the number of residents with impaired vision, including blindness, </w:t>
      </w:r>
      <w:r w:rsidRPr="00E7653D">
        <w:rPr>
          <w:i/>
          <w:sz w:val="24"/>
          <w:szCs w:val="24"/>
          <w:highlight w:val="yellow"/>
        </w:rPr>
        <w:t>is expected to double over the next three decades</w:t>
      </w:r>
      <w:r w:rsidRPr="00E7653D">
        <w:rPr>
          <w:sz w:val="24"/>
          <w:szCs w:val="24"/>
          <w:highlight w:val="yellow"/>
        </w:rPr>
        <w:t>.</w:t>
      </w:r>
      <w:r w:rsidRPr="00E7653D">
        <w:rPr>
          <w:rFonts w:cstheme="minorHAnsi"/>
          <w:color w:val="000000"/>
          <w:sz w:val="24"/>
          <w:szCs w:val="24"/>
          <w:highlight w:val="yellow"/>
        </w:rPr>
        <w:t>]</w:t>
      </w:r>
      <w:r w:rsidRPr="00E7653D">
        <w:rPr>
          <w:rFonts w:cstheme="minorHAnsi"/>
          <w:color w:val="000000"/>
          <w:sz w:val="24"/>
          <w:szCs w:val="24"/>
        </w:rPr>
        <w:t xml:space="preserve"> </w:t>
      </w:r>
      <w:r w:rsidRPr="00E7653D">
        <w:rPr>
          <w:rFonts w:asciiTheme="minorHAnsi" w:hAnsiTheme="minorHAnsi"/>
          <w:sz w:val="24"/>
          <w:szCs w:val="24"/>
        </w:rPr>
        <w:t>Combined with the fact that eye diseases, vision loss, and eye disorders create an estimated $139 billion economic burden</w:t>
      </w:r>
      <w:r w:rsidRPr="00E7653D">
        <w:rPr>
          <w:rStyle w:val="EndnoteReference"/>
          <w:rFonts w:asciiTheme="minorHAnsi" w:hAnsiTheme="minorHAnsi"/>
          <w:sz w:val="24"/>
          <w:szCs w:val="24"/>
        </w:rPr>
        <w:footnoteRef/>
      </w:r>
      <w:r w:rsidRPr="00E7653D">
        <w:rPr>
          <w:rFonts w:asciiTheme="minorHAnsi" w:hAnsiTheme="minorHAnsi"/>
          <w:sz w:val="24"/>
          <w:szCs w:val="24"/>
        </w:rPr>
        <w:t xml:space="preserve">, the U.S. is facing a significant public health crisis.  </w:t>
      </w:r>
      <w:r w:rsidRPr="00E7653D">
        <w:rPr>
          <w:rFonts w:asciiTheme="minorHAnsi" w:hAnsiTheme="minorHAnsi"/>
          <w:sz w:val="24"/>
          <w:szCs w:val="24"/>
        </w:rPr>
        <w:br/>
      </w:r>
    </w:p>
    <w:p w14:paraId="5F9FA758" w14:textId="77777777" w:rsidR="00522B3B" w:rsidRPr="00E7653D" w:rsidRDefault="00522B3B" w:rsidP="00522B3B">
      <w:pPr>
        <w:spacing w:after="0" w:line="240" w:lineRule="auto"/>
        <w:rPr>
          <w:rFonts w:cs="Calibri"/>
          <w:sz w:val="24"/>
          <w:szCs w:val="24"/>
        </w:rPr>
      </w:pPr>
      <w:bookmarkStart w:id="1" w:name="_Hlk528612377"/>
      <w:r w:rsidRPr="00E7653D">
        <w:rPr>
          <w:rFonts w:cs="Calibri"/>
          <w:sz w:val="24"/>
          <w:szCs w:val="24"/>
        </w:rPr>
        <w:t xml:space="preserve">Unfortunately, those living in underserved or rural areas often face obstacles to accessing eye and vision care. But there’s hope – these problems can be solved by expanding access to affordable, quality eye and vision care delivered by doctors of optometry, who provide more than two-thirds of Americans' primary eye care, often representing the only eye care providers in the most rural parts of the nation. </w:t>
      </w:r>
      <w:r w:rsidRPr="00E7653D">
        <w:rPr>
          <w:rFonts w:cs="Calibri"/>
          <w:sz w:val="24"/>
          <w:szCs w:val="24"/>
        </w:rPr>
        <w:br/>
      </w:r>
    </w:p>
    <w:bookmarkEnd w:id="1"/>
    <w:p w14:paraId="0AE3CAD7" w14:textId="77777777" w:rsidR="00522B3B" w:rsidRPr="00E7653D" w:rsidRDefault="00522B3B" w:rsidP="00522B3B">
      <w:pPr>
        <w:spacing w:after="0" w:line="240" w:lineRule="auto"/>
        <w:rPr>
          <w:rFonts w:cs="Calibri"/>
          <w:sz w:val="24"/>
          <w:szCs w:val="24"/>
        </w:rPr>
      </w:pPr>
      <w:r w:rsidRPr="00E7653D">
        <w:rPr>
          <w:rFonts w:cs="Calibri"/>
          <w:sz w:val="24"/>
          <w:szCs w:val="24"/>
        </w:rPr>
        <w:t>Legislation allowing doctors of optometry to practice to the full extent of their training would provide patients greater access to the latest procedures and more immediate care since there are more doctors of optometry, particularly in underserved areas. Most importantly, increasing access to doctors of optometry can minimize the devastating impact of vision and eye problems.</w:t>
      </w:r>
      <w:r w:rsidRPr="00E7653D">
        <w:rPr>
          <w:rFonts w:cs="Calibri"/>
          <w:sz w:val="24"/>
          <w:szCs w:val="24"/>
        </w:rPr>
        <w:br/>
      </w:r>
    </w:p>
    <w:p w14:paraId="5FE954D9" w14:textId="77777777" w:rsidR="00522B3B" w:rsidRPr="00E7653D" w:rsidRDefault="00522B3B" w:rsidP="00522B3B">
      <w:pPr>
        <w:spacing w:after="0" w:line="240" w:lineRule="auto"/>
        <w:rPr>
          <w:rFonts w:cs="Calibri"/>
          <w:b/>
          <w:color w:val="000000"/>
          <w:sz w:val="24"/>
          <w:szCs w:val="24"/>
        </w:rPr>
      </w:pPr>
      <w:r w:rsidRPr="00E7653D">
        <w:rPr>
          <w:rFonts w:cs="Calibri"/>
          <w:b/>
          <w:color w:val="000000"/>
          <w:sz w:val="24"/>
          <w:szCs w:val="24"/>
        </w:rPr>
        <w:t xml:space="preserve">Would you be interested in learning more about eye health and how doctors of optometry can </w:t>
      </w:r>
      <w:r w:rsidRPr="00E7653D">
        <w:rPr>
          <w:rFonts w:cs="Calibri"/>
          <w:b/>
          <w:sz w:val="24"/>
          <w:szCs w:val="24"/>
        </w:rPr>
        <w:t xml:space="preserve">improve access to critical eye health services and reduce health care costs in </w:t>
      </w:r>
      <w:r w:rsidRPr="00E7653D">
        <w:rPr>
          <w:rFonts w:cs="Calibri"/>
          <w:b/>
          <w:sz w:val="24"/>
          <w:szCs w:val="24"/>
          <w:highlight w:val="yellow"/>
        </w:rPr>
        <w:t>[insert state]</w:t>
      </w:r>
      <w:r w:rsidRPr="00E7653D">
        <w:rPr>
          <w:rFonts w:cs="Calibri"/>
          <w:b/>
          <w:sz w:val="24"/>
          <w:szCs w:val="24"/>
        </w:rPr>
        <w:t>?</w:t>
      </w:r>
      <w:r w:rsidRPr="00E7653D">
        <w:rPr>
          <w:rFonts w:cs="Calibri"/>
          <w:b/>
          <w:color w:val="000000"/>
          <w:sz w:val="24"/>
          <w:szCs w:val="24"/>
        </w:rPr>
        <w:t xml:space="preserve"> I’m happy to provide additional information and/or coordinate an interview with a spokesperson from </w:t>
      </w:r>
      <w:r w:rsidRPr="00E7653D">
        <w:rPr>
          <w:rFonts w:cs="Calibri"/>
          <w:b/>
          <w:color w:val="000000"/>
          <w:sz w:val="24"/>
          <w:szCs w:val="24"/>
          <w:highlight w:val="yellow"/>
        </w:rPr>
        <w:t>XXX.</w:t>
      </w:r>
      <w:r w:rsidRPr="00E7653D">
        <w:rPr>
          <w:rFonts w:cs="Calibri"/>
          <w:b/>
          <w:color w:val="000000"/>
          <w:sz w:val="24"/>
          <w:szCs w:val="24"/>
          <w:highlight w:val="yellow"/>
        </w:rPr>
        <w:br/>
      </w:r>
    </w:p>
    <w:p w14:paraId="1568F242" w14:textId="77777777" w:rsidR="00522B3B" w:rsidRPr="00E7653D" w:rsidRDefault="00522B3B" w:rsidP="00522B3B">
      <w:pPr>
        <w:spacing w:after="0" w:line="240" w:lineRule="auto"/>
        <w:rPr>
          <w:rFonts w:cs="Calibri"/>
          <w:color w:val="000000"/>
          <w:sz w:val="24"/>
          <w:szCs w:val="24"/>
        </w:rPr>
      </w:pPr>
      <w:r w:rsidRPr="00E7653D">
        <w:rPr>
          <w:rFonts w:cs="Calibri"/>
          <w:color w:val="000000"/>
          <w:sz w:val="24"/>
          <w:szCs w:val="24"/>
        </w:rPr>
        <w:t>Thank you for your consideration,</w:t>
      </w:r>
      <w:r w:rsidRPr="00E7653D">
        <w:rPr>
          <w:rFonts w:cs="Calibri"/>
          <w:color w:val="000000"/>
          <w:sz w:val="24"/>
          <w:szCs w:val="24"/>
        </w:rPr>
        <w:br/>
      </w:r>
    </w:p>
    <w:p w14:paraId="76229741" w14:textId="77777777" w:rsidR="00522B3B" w:rsidRPr="00E7653D" w:rsidRDefault="00522B3B" w:rsidP="00522B3B">
      <w:pPr>
        <w:spacing w:after="0" w:line="240" w:lineRule="auto"/>
        <w:rPr>
          <w:rFonts w:cs="Calibri"/>
          <w:color w:val="000000"/>
          <w:sz w:val="24"/>
          <w:szCs w:val="24"/>
          <w:highlight w:val="yellow"/>
        </w:rPr>
      </w:pPr>
      <w:r w:rsidRPr="00E7653D">
        <w:rPr>
          <w:rFonts w:cs="Calibri"/>
          <w:color w:val="000000"/>
          <w:sz w:val="24"/>
          <w:szCs w:val="24"/>
          <w:highlight w:val="yellow"/>
        </w:rPr>
        <w:t>Name</w:t>
      </w:r>
    </w:p>
    <w:p w14:paraId="28118B2E" w14:textId="77777777" w:rsidR="00522B3B" w:rsidRPr="00E7653D" w:rsidRDefault="00522B3B" w:rsidP="00522B3B">
      <w:pPr>
        <w:spacing w:after="0" w:line="240" w:lineRule="auto"/>
        <w:rPr>
          <w:rFonts w:cs="Calibri"/>
          <w:color w:val="000000"/>
          <w:sz w:val="24"/>
          <w:szCs w:val="24"/>
          <w:highlight w:val="yellow"/>
        </w:rPr>
      </w:pPr>
      <w:r w:rsidRPr="00E7653D">
        <w:rPr>
          <w:rFonts w:cs="Calibri"/>
          <w:color w:val="000000"/>
          <w:sz w:val="24"/>
          <w:szCs w:val="24"/>
          <w:highlight w:val="yellow"/>
        </w:rPr>
        <w:t>Organization</w:t>
      </w:r>
    </w:p>
    <w:p w14:paraId="44153336" w14:textId="77777777" w:rsidR="00522B3B" w:rsidRPr="00E7653D" w:rsidRDefault="00522B3B" w:rsidP="00522B3B">
      <w:pPr>
        <w:spacing w:after="0" w:line="240" w:lineRule="auto"/>
        <w:rPr>
          <w:rFonts w:cs="Calibri"/>
          <w:color w:val="000000"/>
          <w:sz w:val="24"/>
          <w:szCs w:val="24"/>
        </w:rPr>
      </w:pPr>
      <w:r w:rsidRPr="00E7653D">
        <w:rPr>
          <w:rFonts w:cs="Calibri"/>
          <w:color w:val="000000"/>
          <w:sz w:val="24"/>
          <w:szCs w:val="24"/>
          <w:highlight w:val="yellow"/>
        </w:rPr>
        <w:t>Contact Information</w:t>
      </w:r>
    </w:p>
    <w:p w14:paraId="7C5A6DBD" w14:textId="77777777" w:rsidR="00522B3B" w:rsidRDefault="00522B3B" w:rsidP="00522B3B">
      <w:pPr>
        <w:rPr>
          <w:rFonts w:cstheme="minorHAnsi"/>
          <w:color w:val="000000"/>
        </w:rPr>
      </w:pPr>
      <w:r>
        <w:rPr>
          <w:rFonts w:cstheme="minorHAnsi"/>
          <w:color w:val="000000"/>
        </w:rPr>
        <w:t>____________________________</w:t>
      </w:r>
    </w:p>
    <w:p w14:paraId="3430E4AC" w14:textId="77777777" w:rsidR="00522B3B" w:rsidRPr="001438B2" w:rsidRDefault="00522B3B" w:rsidP="00522B3B">
      <w:pPr>
        <w:pStyle w:val="EndnoteText"/>
        <w:rPr>
          <w:rFonts w:cstheme="minorHAnsi"/>
          <w:sz w:val="18"/>
          <w:szCs w:val="18"/>
        </w:rPr>
      </w:pPr>
      <w:r>
        <w:rPr>
          <w:rStyle w:val="EndnoteReference"/>
        </w:rPr>
        <w:footnoteRef/>
      </w:r>
      <w:r>
        <w:t xml:space="preserve"> </w:t>
      </w:r>
      <w:r w:rsidRPr="00C02BBD">
        <w:rPr>
          <w:rFonts w:cstheme="minorHAnsi"/>
          <w:sz w:val="18"/>
          <w:szCs w:val="18"/>
          <w:shd w:val="clear" w:color="auto" w:fill="FFFFFF"/>
        </w:rPr>
        <w:t xml:space="preserve">"Making Eye Health A Population Health Imperative: Vision for Tomorrow," sponsors: U.S. Centers for Disease Control and Prevention, National Eye Institute, American Academy of Ophthalmology, American Academy of Optometry, American Optometric Association, Association for Research in Vision and Ophthalmology, National Alliance for Eye and Vision Research, </w:t>
      </w:r>
      <w:r w:rsidRPr="001438B2">
        <w:rPr>
          <w:rFonts w:cstheme="minorHAnsi"/>
          <w:sz w:val="18"/>
          <w:szCs w:val="18"/>
          <w:shd w:val="clear" w:color="auto" w:fill="FFFFFF"/>
        </w:rPr>
        <w:t>Prevent Blindness and National Center for Children's Vision and Eye Health and Research to Prevent Blindness.</w:t>
      </w:r>
    </w:p>
    <w:p w14:paraId="14D8549A" w14:textId="5EDE10C2" w:rsidR="006D2122" w:rsidRPr="00522B3B" w:rsidRDefault="00522B3B" w:rsidP="00522B3B">
      <w:pPr>
        <w:rPr>
          <w:rFonts w:cstheme="minorHAnsi"/>
          <w:color w:val="000000"/>
        </w:rPr>
      </w:pPr>
      <w:r>
        <w:rPr>
          <w:rStyle w:val="EndnoteReference"/>
          <w:rFonts w:cstheme="minorHAnsi"/>
          <w:sz w:val="18"/>
          <w:szCs w:val="18"/>
        </w:rPr>
        <w:t>2</w:t>
      </w:r>
      <w:r w:rsidRPr="001438B2">
        <w:rPr>
          <w:rFonts w:cstheme="minorHAnsi"/>
          <w:sz w:val="18"/>
          <w:szCs w:val="18"/>
        </w:rPr>
        <w:t xml:space="preserve"> </w:t>
      </w:r>
      <w:r w:rsidRPr="001438B2">
        <w:rPr>
          <w:rStyle w:val="Emphasis"/>
          <w:rFonts w:cstheme="minorHAnsi"/>
          <w:sz w:val="18"/>
          <w:szCs w:val="18"/>
          <w:shd w:val="clear" w:color="auto" w:fill="FFFFFF"/>
        </w:rPr>
        <w:t>JAMA Ophthalmology </w:t>
      </w:r>
      <w:r w:rsidRPr="001438B2">
        <w:rPr>
          <w:rFonts w:cstheme="minorHAnsi"/>
          <w:sz w:val="18"/>
          <w:szCs w:val="18"/>
          <w:shd w:val="clear" w:color="auto" w:fill="FFFFFF"/>
        </w:rPr>
        <w:t>"Public Attitudes about Eye and Vision Health," August 2016. </w:t>
      </w:r>
      <w:hyperlink r:id="rId7" w:history="1">
        <w:r w:rsidRPr="001438B2">
          <w:rPr>
            <w:rStyle w:val="Hyperlink"/>
            <w:rFonts w:cstheme="minorHAnsi"/>
            <w:sz w:val="18"/>
            <w:szCs w:val="18"/>
            <w:shd w:val="clear" w:color="auto" w:fill="FFFFFF"/>
          </w:rPr>
          <w:t>http://archopht.jamanetwork.com/article.aspx?articleid=2540516</w:t>
        </w:r>
      </w:hyperlink>
      <w:bookmarkStart w:id="2" w:name="_GoBack"/>
      <w:bookmarkEnd w:id="0"/>
      <w:bookmarkEnd w:id="2"/>
    </w:p>
    <w:p w14:paraId="3CA44F41" w14:textId="77777777" w:rsidR="003A5967" w:rsidRDefault="003A5967" w:rsidP="003A5967">
      <w:pPr>
        <w:jc w:val="center"/>
        <w:rPr>
          <w:b/>
          <w:sz w:val="24"/>
          <w:szCs w:val="24"/>
        </w:rPr>
      </w:pPr>
    </w:p>
    <w:p w14:paraId="2C8FA887" w14:textId="77777777" w:rsidR="007A4957" w:rsidRDefault="007A4957"/>
    <w:sectPr w:rsidR="007A49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C784" w14:textId="77777777" w:rsidR="00687F19" w:rsidRDefault="00687F19" w:rsidP="00BD7C7F">
      <w:pPr>
        <w:spacing w:after="0" w:line="240" w:lineRule="auto"/>
      </w:pPr>
      <w:r>
        <w:separator/>
      </w:r>
    </w:p>
  </w:endnote>
  <w:endnote w:type="continuationSeparator" w:id="0">
    <w:p w14:paraId="10DBE2C1" w14:textId="77777777" w:rsidR="00687F19" w:rsidRDefault="00687F19" w:rsidP="00BD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6993" w14:textId="77777777" w:rsidR="00BD7C7F" w:rsidRDefault="00BD7C7F">
    <w:pPr>
      <w:pStyle w:val="Footer"/>
    </w:pPr>
    <w:r>
      <w:rPr>
        <w:noProof/>
      </w:rPr>
      <w:drawing>
        <wp:inline distT="0" distB="0" distL="0" distR="0" wp14:anchorId="3A4C5F52" wp14:editId="1EF19D31">
          <wp:extent cx="977565" cy="619125"/>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Optometric-Association.jpg"/>
                  <pic:cNvPicPr/>
                </pic:nvPicPr>
                <pic:blipFill>
                  <a:blip r:embed="rId1">
                    <a:extLst>
                      <a:ext uri="{28A0092B-C50C-407E-A947-70E740481C1C}">
                        <a14:useLocalDpi xmlns:a14="http://schemas.microsoft.com/office/drawing/2010/main" val="0"/>
                      </a:ext>
                    </a:extLst>
                  </a:blip>
                  <a:stretch>
                    <a:fillRect/>
                  </a:stretch>
                </pic:blipFill>
                <pic:spPr>
                  <a:xfrm>
                    <a:off x="0" y="0"/>
                    <a:ext cx="998436" cy="6323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90E8" w14:textId="77777777" w:rsidR="00687F19" w:rsidRDefault="00687F19" w:rsidP="00BD7C7F">
      <w:pPr>
        <w:spacing w:after="0" w:line="240" w:lineRule="auto"/>
      </w:pPr>
      <w:r>
        <w:separator/>
      </w:r>
    </w:p>
  </w:footnote>
  <w:footnote w:type="continuationSeparator" w:id="0">
    <w:p w14:paraId="367D4D44" w14:textId="77777777" w:rsidR="00687F19" w:rsidRDefault="00687F19" w:rsidP="00BD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7ADD" w14:textId="77777777" w:rsidR="00BD7C7F" w:rsidRDefault="00BD7C7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B1B08D1" wp14:editId="772DFCE9">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81075" w14:textId="77777777" w:rsidR="00BD7C7F" w:rsidRDefault="00BD7C7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1B08D1"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cade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6281075" w14:textId="77777777" w:rsidR="00BD7C7F" w:rsidRDefault="00BD7C7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DB1"/>
    <w:multiLevelType w:val="hybridMultilevel"/>
    <w:tmpl w:val="18E8CAD8"/>
    <w:lvl w:ilvl="0" w:tplc="E726361E">
      <w:start w:val="1"/>
      <w:numFmt w:val="bullet"/>
      <w:lvlText w:val=""/>
      <w:lvlJc w:val="left"/>
      <w:pPr>
        <w:tabs>
          <w:tab w:val="num" w:pos="360"/>
        </w:tabs>
        <w:ind w:left="360" w:hanging="360"/>
      </w:pPr>
      <w:rPr>
        <w:rFonts w:ascii="Symbol" w:hAnsi="Symbol" w:hint="default"/>
        <w:shadow w:val="0"/>
        <w:emboss w:val="0"/>
        <w:imprint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17767"/>
    <w:multiLevelType w:val="hybridMultilevel"/>
    <w:tmpl w:val="0F520B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6456F"/>
    <w:multiLevelType w:val="hybridMultilevel"/>
    <w:tmpl w:val="64101BBE"/>
    <w:lvl w:ilvl="0" w:tplc="82DE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37FA1"/>
    <w:multiLevelType w:val="hybridMultilevel"/>
    <w:tmpl w:val="1504C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D63F0"/>
    <w:multiLevelType w:val="hybridMultilevel"/>
    <w:tmpl w:val="50ECE52E"/>
    <w:lvl w:ilvl="0" w:tplc="04090005">
      <w:start w:val="1"/>
      <w:numFmt w:val="bullet"/>
      <w:lvlText w:val=""/>
      <w:lvlJc w:val="left"/>
      <w:pPr>
        <w:ind w:left="720" w:hanging="360"/>
      </w:pPr>
      <w:rPr>
        <w:rFonts w:ascii="Wingdings" w:hAnsi="Wingding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2E98"/>
    <w:multiLevelType w:val="hybridMultilevel"/>
    <w:tmpl w:val="5DAC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6936"/>
    <w:multiLevelType w:val="hybridMultilevel"/>
    <w:tmpl w:val="8C26F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431CF"/>
    <w:multiLevelType w:val="hybridMultilevel"/>
    <w:tmpl w:val="A93E1BF2"/>
    <w:lvl w:ilvl="0" w:tplc="9CB69C06">
      <w:start w:val="1"/>
      <w:numFmt w:val="decimal"/>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F1B04"/>
    <w:multiLevelType w:val="hybridMultilevel"/>
    <w:tmpl w:val="44D8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B5E5B"/>
    <w:multiLevelType w:val="hybridMultilevel"/>
    <w:tmpl w:val="4C280922"/>
    <w:lvl w:ilvl="0" w:tplc="A7B68D8E">
      <w:start w:val="1"/>
      <w:numFmt w:val="upperRoman"/>
      <w:lvlText w:val="%1."/>
      <w:lvlJc w:val="righ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E376F"/>
    <w:multiLevelType w:val="hybridMultilevel"/>
    <w:tmpl w:val="553C6566"/>
    <w:lvl w:ilvl="0" w:tplc="6F12756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7C535B"/>
    <w:multiLevelType w:val="hybridMultilevel"/>
    <w:tmpl w:val="58C869FA"/>
    <w:lvl w:ilvl="0" w:tplc="2E00FB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EE6A99"/>
    <w:multiLevelType w:val="hybridMultilevel"/>
    <w:tmpl w:val="8EF0FC68"/>
    <w:lvl w:ilvl="0" w:tplc="04090005">
      <w:start w:val="1"/>
      <w:numFmt w:val="bullet"/>
      <w:lvlText w:val=""/>
      <w:lvlJc w:val="left"/>
      <w:pPr>
        <w:ind w:left="720" w:hanging="360"/>
      </w:pPr>
      <w:rPr>
        <w:rFonts w:ascii="Wingdings" w:hAnsi="Wingding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15E17"/>
    <w:multiLevelType w:val="hybridMultilevel"/>
    <w:tmpl w:val="E048B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D54897"/>
    <w:multiLevelType w:val="hybridMultilevel"/>
    <w:tmpl w:val="0CA0B740"/>
    <w:lvl w:ilvl="0" w:tplc="04090005">
      <w:start w:val="1"/>
      <w:numFmt w:val="bullet"/>
      <w:lvlText w:val=""/>
      <w:lvlJc w:val="left"/>
      <w:pPr>
        <w:ind w:left="720" w:hanging="360"/>
      </w:pPr>
      <w:rPr>
        <w:rFonts w:ascii="Wingdings" w:hAnsi="Wingdings" w:hint="default"/>
        <w:b w:val="0"/>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E2F36"/>
    <w:multiLevelType w:val="hybridMultilevel"/>
    <w:tmpl w:val="B6B83874"/>
    <w:lvl w:ilvl="0" w:tplc="04090005">
      <w:start w:val="1"/>
      <w:numFmt w:val="bullet"/>
      <w:lvlText w:val=""/>
      <w:lvlJc w:val="left"/>
      <w:pPr>
        <w:ind w:left="720" w:hanging="360"/>
      </w:pPr>
      <w:rPr>
        <w:rFonts w:ascii="Wingdings" w:hAnsi="Wingding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67336"/>
    <w:multiLevelType w:val="hybridMultilevel"/>
    <w:tmpl w:val="5D8C5716"/>
    <w:lvl w:ilvl="0" w:tplc="A7B68D8E">
      <w:start w:val="1"/>
      <w:numFmt w:val="upperRoman"/>
      <w:lvlText w:val="%1."/>
      <w:lvlJc w:val="righ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C2BB3"/>
    <w:multiLevelType w:val="hybridMultilevel"/>
    <w:tmpl w:val="480E988A"/>
    <w:lvl w:ilvl="0" w:tplc="04090005">
      <w:start w:val="1"/>
      <w:numFmt w:val="bullet"/>
      <w:lvlText w:val=""/>
      <w:lvlJc w:val="left"/>
      <w:pPr>
        <w:ind w:left="720" w:hanging="360"/>
      </w:pPr>
      <w:rPr>
        <w:rFonts w:ascii="Wingdings" w:hAnsi="Wingding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4595C"/>
    <w:multiLevelType w:val="hybridMultilevel"/>
    <w:tmpl w:val="B57CE6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4D16D5"/>
    <w:multiLevelType w:val="hybridMultilevel"/>
    <w:tmpl w:val="39AE1EDA"/>
    <w:lvl w:ilvl="0" w:tplc="A7B68D8E">
      <w:start w:val="1"/>
      <w:numFmt w:val="upperRoman"/>
      <w:lvlText w:val="%1."/>
      <w:lvlJc w:val="righ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310FE"/>
    <w:multiLevelType w:val="hybridMultilevel"/>
    <w:tmpl w:val="37D2FA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332AFD"/>
    <w:multiLevelType w:val="hybridMultilevel"/>
    <w:tmpl w:val="AE522660"/>
    <w:lvl w:ilvl="0" w:tplc="A7B68D8E">
      <w:start w:val="1"/>
      <w:numFmt w:val="upperRoman"/>
      <w:lvlText w:val="%1."/>
      <w:lvlJc w:val="righ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904D6"/>
    <w:multiLevelType w:val="hybridMultilevel"/>
    <w:tmpl w:val="502658FA"/>
    <w:lvl w:ilvl="0" w:tplc="82DE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600E5"/>
    <w:multiLevelType w:val="hybridMultilevel"/>
    <w:tmpl w:val="F91062AE"/>
    <w:lvl w:ilvl="0" w:tplc="A7B68D8E">
      <w:start w:val="1"/>
      <w:numFmt w:val="upperRoman"/>
      <w:lvlText w:val="%1."/>
      <w:lvlJc w:val="righ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416F2"/>
    <w:multiLevelType w:val="hybridMultilevel"/>
    <w:tmpl w:val="D53600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CC2FFD"/>
    <w:multiLevelType w:val="hybridMultilevel"/>
    <w:tmpl w:val="132844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B41567"/>
    <w:multiLevelType w:val="hybridMultilevel"/>
    <w:tmpl w:val="502658FA"/>
    <w:lvl w:ilvl="0" w:tplc="82DE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6"/>
  </w:num>
  <w:num w:numId="4">
    <w:abstractNumId w:val="23"/>
  </w:num>
  <w:num w:numId="5">
    <w:abstractNumId w:val="9"/>
  </w:num>
  <w:num w:numId="6">
    <w:abstractNumId w:val="19"/>
  </w:num>
  <w:num w:numId="7">
    <w:abstractNumId w:val="21"/>
  </w:num>
  <w:num w:numId="8">
    <w:abstractNumId w:val="12"/>
  </w:num>
  <w:num w:numId="9">
    <w:abstractNumId w:val="4"/>
  </w:num>
  <w:num w:numId="10">
    <w:abstractNumId w:val="13"/>
  </w:num>
  <w:num w:numId="11">
    <w:abstractNumId w:val="15"/>
  </w:num>
  <w:num w:numId="12">
    <w:abstractNumId w:val="6"/>
  </w:num>
  <w:num w:numId="13">
    <w:abstractNumId w:val="17"/>
  </w:num>
  <w:num w:numId="14">
    <w:abstractNumId w:val="11"/>
  </w:num>
  <w:num w:numId="15">
    <w:abstractNumId w:val="26"/>
  </w:num>
  <w:num w:numId="16">
    <w:abstractNumId w:val="22"/>
  </w:num>
  <w:num w:numId="17">
    <w:abstractNumId w:val="7"/>
  </w:num>
  <w:num w:numId="18">
    <w:abstractNumId w:val="2"/>
  </w:num>
  <w:num w:numId="19">
    <w:abstractNumId w:val="0"/>
  </w:num>
  <w:num w:numId="20">
    <w:abstractNumId w:val="8"/>
  </w:num>
  <w:num w:numId="21">
    <w:abstractNumId w:val="5"/>
  </w:num>
  <w:num w:numId="22">
    <w:abstractNumId w:val="18"/>
  </w:num>
  <w:num w:numId="23">
    <w:abstractNumId w:val="1"/>
  </w:num>
  <w:num w:numId="24">
    <w:abstractNumId w:val="3"/>
  </w:num>
  <w:num w:numId="25">
    <w:abstractNumId w:val="24"/>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7F"/>
    <w:rsid w:val="00291A79"/>
    <w:rsid w:val="003A5967"/>
    <w:rsid w:val="004F074A"/>
    <w:rsid w:val="00522B3B"/>
    <w:rsid w:val="00687F19"/>
    <w:rsid w:val="006D2122"/>
    <w:rsid w:val="007A4957"/>
    <w:rsid w:val="00932C3D"/>
    <w:rsid w:val="009A62BC"/>
    <w:rsid w:val="00A83D0C"/>
    <w:rsid w:val="00AB626F"/>
    <w:rsid w:val="00BD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85EA"/>
  <w15:chartTrackingRefBased/>
  <w15:docId w15:val="{0F836784-2523-4F37-9FC5-00AB203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7C7F"/>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D7C7F"/>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BD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7F"/>
  </w:style>
  <w:style w:type="paragraph" w:styleId="Footer">
    <w:name w:val="footer"/>
    <w:basedOn w:val="Normal"/>
    <w:link w:val="FooterChar"/>
    <w:uiPriority w:val="99"/>
    <w:unhideWhenUsed/>
    <w:rsid w:val="00BD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7F"/>
  </w:style>
  <w:style w:type="paragraph" w:styleId="ListParagraph">
    <w:name w:val="List Paragraph"/>
    <w:basedOn w:val="Normal"/>
    <w:uiPriority w:val="34"/>
    <w:qFormat/>
    <w:rsid w:val="009A62BC"/>
    <w:pPr>
      <w:ind w:left="720"/>
      <w:contextualSpacing/>
    </w:pPr>
  </w:style>
  <w:style w:type="paragraph" w:styleId="NoSpacing">
    <w:name w:val="No Spacing"/>
    <w:uiPriority w:val="1"/>
    <w:qFormat/>
    <w:rsid w:val="00291A79"/>
    <w:pPr>
      <w:spacing w:after="0" w:line="240" w:lineRule="auto"/>
    </w:pPr>
  </w:style>
  <w:style w:type="character" w:customStyle="1" w:styleId="NewText">
    <w:name w:val="New Text"/>
    <w:rsid w:val="00291A79"/>
    <w:rPr>
      <w:rFonts w:ascii="Times New Roman" w:hAnsi="Times New Roman" w:cs="Times New Roman" w:hint="default"/>
      <w:b/>
      <w:bCs w:val="0"/>
      <w:i/>
      <w:iCs w:val="0"/>
      <w:sz w:val="24"/>
      <w:szCs w:val="24"/>
      <w:u w:val="single"/>
    </w:rPr>
  </w:style>
  <w:style w:type="character" w:styleId="Hyperlink">
    <w:name w:val="Hyperlink"/>
    <w:basedOn w:val="DefaultParagraphFont"/>
    <w:uiPriority w:val="99"/>
    <w:unhideWhenUsed/>
    <w:rsid w:val="00AB626F"/>
    <w:rPr>
      <w:color w:val="6EAC1C" w:themeColor="hyperlink"/>
      <w:u w:val="single"/>
    </w:rPr>
  </w:style>
  <w:style w:type="paragraph" w:styleId="EndnoteText">
    <w:name w:val="endnote text"/>
    <w:basedOn w:val="Normal"/>
    <w:link w:val="EndnoteTextChar"/>
    <w:unhideWhenUsed/>
    <w:rsid w:val="003A5967"/>
    <w:pPr>
      <w:spacing w:after="0" w:line="240" w:lineRule="auto"/>
    </w:pPr>
    <w:rPr>
      <w:sz w:val="20"/>
      <w:szCs w:val="20"/>
    </w:rPr>
  </w:style>
  <w:style w:type="character" w:customStyle="1" w:styleId="EndnoteTextChar">
    <w:name w:val="Endnote Text Char"/>
    <w:basedOn w:val="DefaultParagraphFont"/>
    <w:link w:val="EndnoteText"/>
    <w:rsid w:val="003A5967"/>
    <w:rPr>
      <w:sz w:val="20"/>
      <w:szCs w:val="20"/>
    </w:rPr>
  </w:style>
  <w:style w:type="character" w:styleId="EndnoteReference">
    <w:name w:val="endnote reference"/>
    <w:basedOn w:val="DefaultParagraphFont"/>
    <w:unhideWhenUsed/>
    <w:rsid w:val="003A5967"/>
    <w:rPr>
      <w:vertAlign w:val="superscript"/>
    </w:rPr>
  </w:style>
  <w:style w:type="character" w:styleId="Emphasis">
    <w:name w:val="Emphasis"/>
    <w:basedOn w:val="DefaultParagraphFont"/>
    <w:uiPriority w:val="20"/>
    <w:qFormat/>
    <w:rsid w:val="003A5967"/>
    <w:rPr>
      <w:i/>
      <w:iCs/>
    </w:rPr>
  </w:style>
  <w:style w:type="paragraph" w:customStyle="1" w:styleId="Default">
    <w:name w:val="Default"/>
    <w:rsid w:val="003A596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22B3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amanetwork.com/journals/jamaophthalmology/article-abstract/2540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Yakesha</dc:creator>
  <cp:keywords/>
  <dc:description/>
  <cp:lastModifiedBy>Cooper, Yakesha</cp:lastModifiedBy>
  <cp:revision>2</cp:revision>
  <cp:lastPrinted>2019-04-29T20:24:00Z</cp:lastPrinted>
  <dcterms:created xsi:type="dcterms:W3CDTF">2019-04-29T20:26:00Z</dcterms:created>
  <dcterms:modified xsi:type="dcterms:W3CDTF">2019-04-29T20:26:00Z</dcterms:modified>
</cp:coreProperties>
</file>